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A5" w:rsidRPr="008C4693" w:rsidRDefault="008C4693" w:rsidP="00A63037">
      <w:pPr>
        <w:widowControl/>
        <w:spacing w:after="120" w:line="240" w:lineRule="auto"/>
        <w:jc w:val="center"/>
        <w:rPr>
          <w:b/>
          <w:sz w:val="28"/>
          <w:szCs w:val="28"/>
        </w:rPr>
      </w:pPr>
      <w:r w:rsidRPr="008C4693">
        <w:rPr>
          <w:b/>
          <w:sz w:val="28"/>
          <w:szCs w:val="28"/>
        </w:rPr>
        <w:t>Bellegrove Surgery, Welling</w:t>
      </w:r>
    </w:p>
    <w:p w:rsidR="008C4693" w:rsidRPr="008C4693" w:rsidRDefault="008C4693" w:rsidP="00A63037">
      <w:pPr>
        <w:widowControl/>
        <w:spacing w:after="120" w:line="240" w:lineRule="auto"/>
        <w:jc w:val="center"/>
        <w:rPr>
          <w:b/>
          <w:spacing w:val="30"/>
          <w:sz w:val="36"/>
          <w:szCs w:val="36"/>
        </w:rPr>
      </w:pPr>
      <w:r w:rsidRPr="008C4693">
        <w:rPr>
          <w:b/>
          <w:spacing w:val="30"/>
          <w:sz w:val="36"/>
          <w:szCs w:val="36"/>
        </w:rPr>
        <w:t>PATIENT PARTICIPATION GROUP</w:t>
      </w:r>
    </w:p>
    <w:p w:rsidR="008C4693" w:rsidRPr="00091996" w:rsidRDefault="00A92D1E" w:rsidP="00B90271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</w:t>
      </w:r>
      <w:r w:rsidR="0000112F">
        <w:rPr>
          <w:b/>
          <w:sz w:val="26"/>
          <w:szCs w:val="26"/>
        </w:rPr>
        <w:t>he Patient Survey</w:t>
      </w:r>
      <w:r w:rsidR="00DE6A7C">
        <w:rPr>
          <w:b/>
          <w:sz w:val="26"/>
          <w:szCs w:val="26"/>
        </w:rPr>
        <w:t xml:space="preserve"> 2018</w:t>
      </w:r>
    </w:p>
    <w:p w:rsidR="008C4693" w:rsidRDefault="008C4693" w:rsidP="00A63037">
      <w:pPr>
        <w:widowControl/>
        <w:spacing w:after="0" w:line="216" w:lineRule="auto"/>
      </w:pPr>
    </w:p>
    <w:p w:rsidR="004119CE" w:rsidRDefault="00A92D1E" w:rsidP="008804CF">
      <w:pPr>
        <w:widowControl/>
      </w:pPr>
      <w:r>
        <w:t>During the first week of October 2018, the Patient Participation Group at the Surgery con</w:t>
      </w:r>
      <w:r w:rsidR="00615F84">
        <w:t xml:space="preserve">ducted </w:t>
      </w:r>
      <w:r>
        <w:t>a patient satisfaction survey</w:t>
      </w:r>
      <w:r w:rsidR="00615F84">
        <w:t>. Volunteers from the Group attended the Surgery on Monday, Wednesday and Friday mornings and on Tuesday and Thursday afternoons</w:t>
      </w:r>
      <w:r w:rsidR="00387856">
        <w:t>,</w:t>
      </w:r>
      <w:r w:rsidR="00615F84">
        <w:t xml:space="preserve"> when they invited people attending appointments to com</w:t>
      </w:r>
      <w:r w:rsidR="004119CE">
        <w:t>plete a two-page questionnaire.</w:t>
      </w:r>
    </w:p>
    <w:p w:rsidR="00A92D1E" w:rsidRDefault="00615F84" w:rsidP="008804CF">
      <w:pPr>
        <w:widowControl/>
      </w:pPr>
      <w:r>
        <w:t>The 287 questionnaires returned represented approximately 33% of the patients seen at the Surgery during th</w:t>
      </w:r>
      <w:r w:rsidR="00961265">
        <w:t>at</w:t>
      </w:r>
      <w:r>
        <w:t xml:space="preserve"> week.</w:t>
      </w:r>
      <w:r w:rsidR="00F125D1" w:rsidRPr="00F125D1">
        <w:t xml:space="preserve"> </w:t>
      </w:r>
      <w:r w:rsidR="001A65CC">
        <w:t>Of the</w:t>
      </w:r>
      <w:r w:rsidR="00A92D1E">
        <w:t>se</w:t>
      </w:r>
      <w:r w:rsidR="001A65CC">
        <w:t xml:space="preserve">, 208 concerned doctor and nurse practitioner appointments and 81 appointments with a nurse, healthcare assistant or pharmacist. </w:t>
      </w:r>
    </w:p>
    <w:p w:rsidR="00C056D2" w:rsidRDefault="00743404" w:rsidP="008804CF">
      <w:pPr>
        <w:widowControl/>
      </w:pPr>
      <w:r>
        <w:t xml:space="preserve">Official estimates of the current </w:t>
      </w:r>
      <w:r w:rsidRPr="00C056D2">
        <w:t xml:space="preserve">population of Welling &amp; Falconwood in 2011 </w:t>
      </w:r>
      <w:r>
        <w:t>are</w:t>
      </w:r>
      <w:r w:rsidR="00C056D2">
        <w:t xml:space="preserve"> almost</w:t>
      </w:r>
      <w:r w:rsidR="00C056D2" w:rsidRPr="00C056D2">
        <w:t xml:space="preserve"> 11,</w:t>
      </w:r>
      <w:r w:rsidR="00C056D2">
        <w:t>300</w:t>
      </w:r>
      <w:r w:rsidR="00C056D2" w:rsidRPr="00C056D2">
        <w:t xml:space="preserve">. The 13,531 patients registered at </w:t>
      </w:r>
      <w:r w:rsidR="00303FB4">
        <w:t>the</w:t>
      </w:r>
      <w:r w:rsidR="00C056D2" w:rsidRPr="00C056D2">
        <w:t xml:space="preserve"> Surgery are therefore, almost certainly, a clear majority of the </w:t>
      </w:r>
      <w:r w:rsidR="00C056D2">
        <w:t>local</w:t>
      </w:r>
      <w:r w:rsidR="00C056D2" w:rsidRPr="00C056D2">
        <w:t xml:space="preserve"> population. Moreover, as over 98% of the patients who participated in the Survey ranked the service as good, very good or excellent, </w:t>
      </w:r>
      <w:r w:rsidR="00303FB4">
        <w:t>it seems</w:t>
      </w:r>
      <w:r w:rsidR="00C056D2" w:rsidRPr="00C056D2">
        <w:t xml:space="preserve"> the Surgery is meeting the general medical needs of the community.</w:t>
      </w:r>
    </w:p>
    <w:p w:rsidR="008F4D5A" w:rsidRDefault="00A92D1E" w:rsidP="008804CF">
      <w:pPr>
        <w:widowControl/>
      </w:pPr>
      <w:r>
        <w:t>Some</w:t>
      </w:r>
      <w:r w:rsidR="00AC25FB">
        <w:t xml:space="preserve"> patients</w:t>
      </w:r>
      <w:r w:rsidR="003C6C62">
        <w:t xml:space="preserve"> who participated in the Survey</w:t>
      </w:r>
      <w:r w:rsidR="00AC25FB">
        <w:t xml:space="preserve"> didn’t state their gender but of those who did </w:t>
      </w:r>
      <w:r w:rsidR="00EC51B0">
        <w:t>61% were female.</w:t>
      </w:r>
      <w:r w:rsidR="000F695B" w:rsidRPr="000F695B">
        <w:t xml:space="preserve"> </w:t>
      </w:r>
      <w:r w:rsidR="000F695B">
        <w:t>Some did</w:t>
      </w:r>
      <w:r w:rsidR="004119CE">
        <w:t>n’</w:t>
      </w:r>
      <w:r w:rsidR="000F695B">
        <w:t xml:space="preserve">t state their age </w:t>
      </w:r>
      <w:r w:rsidR="00C056D2">
        <w:t xml:space="preserve">but those who did demonstrated that the </w:t>
      </w:r>
      <w:r w:rsidR="003C6C62">
        <w:t>S</w:t>
      </w:r>
      <w:r w:rsidR="00C056D2">
        <w:t xml:space="preserve">urvey </w:t>
      </w:r>
      <w:r w:rsidR="00EC51B0">
        <w:t>covered all age ranges</w:t>
      </w:r>
      <w:r w:rsidR="008F4D5A">
        <w:t>.</w:t>
      </w:r>
    </w:p>
    <w:p w:rsidR="008F4D5A" w:rsidRDefault="008F4D5A" w:rsidP="00A92D1E">
      <w:pPr>
        <w:widowControl/>
        <w:spacing w:after="0"/>
        <w:sectPr w:rsidR="008F4D5A" w:rsidSect="00264AD1">
          <w:footerReference w:type="default" r:id="rId9"/>
          <w:pgSz w:w="11906" w:h="16838"/>
          <w:pgMar w:top="1440" w:right="1080" w:bottom="1440" w:left="1080" w:header="706" w:footer="706" w:gutter="0"/>
          <w:cols w:space="708"/>
          <w:docGrid w:linePitch="360"/>
        </w:sectPr>
      </w:pPr>
    </w:p>
    <w:p w:rsidR="008F4D5A" w:rsidRDefault="008F4D5A" w:rsidP="00303FB4">
      <w:pPr>
        <w:widowControl/>
        <w:spacing w:after="0"/>
        <w:ind w:left="450"/>
      </w:pPr>
      <w:r>
        <w:lastRenderedPageBreak/>
        <w:t>A</w:t>
      </w:r>
      <w:r w:rsidR="00EC51B0">
        <w:t>ged 16 or younger</w:t>
      </w:r>
      <w:r>
        <w:t xml:space="preserve">: </w:t>
      </w:r>
      <w:r w:rsidR="00AC25FB">
        <w:t>10</w:t>
      </w:r>
      <w:r>
        <w:t>.</w:t>
      </w:r>
    </w:p>
    <w:p w:rsidR="008F4D5A" w:rsidRDefault="008F4D5A" w:rsidP="00303FB4">
      <w:pPr>
        <w:widowControl/>
        <w:spacing w:after="0"/>
        <w:ind w:left="450"/>
      </w:pPr>
      <w:r>
        <w:t>A</w:t>
      </w:r>
      <w:r w:rsidR="00EC51B0">
        <w:t>ged 17-34</w:t>
      </w:r>
      <w:r w:rsidR="00AC25FB">
        <w:t>: 56</w:t>
      </w:r>
      <w:r>
        <w:t>.</w:t>
      </w:r>
    </w:p>
    <w:p w:rsidR="008F4D5A" w:rsidRDefault="008F4D5A" w:rsidP="00303FB4">
      <w:pPr>
        <w:widowControl/>
        <w:spacing w:after="0"/>
        <w:ind w:left="450"/>
      </w:pPr>
      <w:r>
        <w:t>A</w:t>
      </w:r>
      <w:r w:rsidR="00EC51B0">
        <w:t>ged 35-54</w:t>
      </w:r>
      <w:r>
        <w:t xml:space="preserve">: </w:t>
      </w:r>
      <w:r w:rsidR="00AC25FB">
        <w:t>82</w:t>
      </w:r>
      <w:r>
        <w:t>.</w:t>
      </w:r>
    </w:p>
    <w:p w:rsidR="008F4D5A" w:rsidRDefault="008F4D5A" w:rsidP="00303FB4">
      <w:pPr>
        <w:widowControl/>
        <w:spacing w:after="0"/>
        <w:ind w:left="450"/>
      </w:pPr>
      <w:r>
        <w:lastRenderedPageBreak/>
        <w:t xml:space="preserve">Aged 55-75: </w:t>
      </w:r>
      <w:r w:rsidR="00AC25FB">
        <w:t>91</w:t>
      </w:r>
      <w:r>
        <w:t>.</w:t>
      </w:r>
    </w:p>
    <w:p w:rsidR="006004DF" w:rsidRDefault="008F4D5A" w:rsidP="00303FB4">
      <w:pPr>
        <w:widowControl/>
        <w:ind w:left="450"/>
      </w:pPr>
      <w:r>
        <w:t xml:space="preserve">Aged 75 and over: </w:t>
      </w:r>
      <w:r w:rsidR="00AC25FB">
        <w:t>47</w:t>
      </w:r>
      <w:r>
        <w:t>.</w:t>
      </w:r>
    </w:p>
    <w:p w:rsidR="008F4D5A" w:rsidRDefault="008F4D5A" w:rsidP="00303FB4">
      <w:pPr>
        <w:widowControl/>
        <w:ind w:left="450"/>
        <w:sectPr w:rsidR="008F4D5A" w:rsidSect="008F4D5A">
          <w:type w:val="continuous"/>
          <w:pgSz w:w="11906" w:h="16838"/>
          <w:pgMar w:top="1440" w:right="1080" w:bottom="1440" w:left="1080" w:header="706" w:footer="706" w:gutter="0"/>
          <w:cols w:num="2" w:space="154"/>
          <w:docGrid w:linePitch="360"/>
        </w:sectPr>
      </w:pPr>
    </w:p>
    <w:p w:rsidR="004119CE" w:rsidRDefault="00EC51B0" w:rsidP="00303FB4">
      <w:pPr>
        <w:widowControl/>
        <w:spacing w:before="480"/>
      </w:pPr>
      <w:r>
        <w:lastRenderedPageBreak/>
        <w:t xml:space="preserve">Some patients preferred not to state their ethnicity </w:t>
      </w:r>
      <w:r w:rsidR="00C056D2">
        <w:t>but those who did</w:t>
      </w:r>
      <w:r w:rsidR="004119CE">
        <w:t xml:space="preserve"> were as follows.</w:t>
      </w:r>
    </w:p>
    <w:p w:rsidR="008804CF" w:rsidRDefault="008804CF" w:rsidP="00303FB4">
      <w:pPr>
        <w:widowControl/>
        <w:spacing w:before="480"/>
        <w:sectPr w:rsidR="008804CF" w:rsidSect="008F4D5A">
          <w:type w:val="continuous"/>
          <w:pgSz w:w="11906" w:h="16838"/>
          <w:pgMar w:top="1440" w:right="1080" w:bottom="1440" w:left="1080" w:header="706" w:footer="706" w:gutter="0"/>
          <w:cols w:space="708"/>
          <w:docGrid w:linePitch="360"/>
        </w:sectPr>
      </w:pPr>
    </w:p>
    <w:p w:rsidR="00264AD1" w:rsidRDefault="00264AD1" w:rsidP="00303FB4">
      <w:pPr>
        <w:widowControl/>
        <w:spacing w:after="0"/>
        <w:ind w:left="540"/>
      </w:pPr>
      <w:r>
        <w:lastRenderedPageBreak/>
        <w:t>White North European</w:t>
      </w:r>
      <w:r w:rsidR="008F4D5A">
        <w:t>:</w:t>
      </w:r>
      <w:r>
        <w:t xml:space="preserve"> </w:t>
      </w:r>
      <w:r w:rsidR="00AC25FB">
        <w:t>144</w:t>
      </w:r>
      <w:r w:rsidR="008F4D5A">
        <w:t>.</w:t>
      </w:r>
    </w:p>
    <w:p w:rsidR="00264AD1" w:rsidRDefault="00264AD1" w:rsidP="00303FB4">
      <w:pPr>
        <w:widowControl/>
        <w:spacing w:after="0"/>
        <w:ind w:left="540"/>
      </w:pPr>
      <w:r>
        <w:t>White South European</w:t>
      </w:r>
      <w:r w:rsidR="008F4D5A">
        <w:t>:</w:t>
      </w:r>
      <w:r>
        <w:t xml:space="preserve"> </w:t>
      </w:r>
      <w:r w:rsidR="00AC25FB">
        <w:t>67</w:t>
      </w:r>
      <w:r w:rsidR="008F4D5A">
        <w:t>.</w:t>
      </w:r>
    </w:p>
    <w:p w:rsidR="008F4D5A" w:rsidRDefault="008F4D5A" w:rsidP="00303FB4">
      <w:pPr>
        <w:widowControl/>
        <w:spacing w:after="0"/>
        <w:ind w:left="540"/>
      </w:pPr>
      <w:r>
        <w:t xml:space="preserve">Asian: </w:t>
      </w:r>
      <w:r w:rsidR="00AC25FB">
        <w:t>17</w:t>
      </w:r>
      <w:r>
        <w:t>.</w:t>
      </w:r>
    </w:p>
    <w:p w:rsidR="00264AD1" w:rsidRDefault="00264AD1" w:rsidP="00303FB4">
      <w:pPr>
        <w:widowControl/>
        <w:spacing w:after="0"/>
        <w:ind w:left="540"/>
      </w:pPr>
      <w:r>
        <w:t>Black</w:t>
      </w:r>
      <w:r w:rsidR="008F4D5A">
        <w:t>:</w:t>
      </w:r>
      <w:r>
        <w:t xml:space="preserve"> </w:t>
      </w:r>
      <w:r w:rsidR="00AC25FB">
        <w:t>10</w:t>
      </w:r>
      <w:r w:rsidR="008F4D5A">
        <w:t>.</w:t>
      </w:r>
    </w:p>
    <w:p w:rsidR="00264AD1" w:rsidRPr="008F4D5A" w:rsidRDefault="00EC51B0" w:rsidP="00303FB4">
      <w:pPr>
        <w:widowControl/>
        <w:spacing w:after="0"/>
        <w:ind w:left="540"/>
      </w:pPr>
      <w:r w:rsidRPr="008F4D5A">
        <w:lastRenderedPageBreak/>
        <w:t>Chinese</w:t>
      </w:r>
      <w:r w:rsidR="008F4D5A" w:rsidRPr="008F4D5A">
        <w:t xml:space="preserve">, </w:t>
      </w:r>
      <w:r w:rsidRPr="008F4D5A">
        <w:t xml:space="preserve">Japanese or </w:t>
      </w:r>
      <w:r w:rsidR="008F4D5A">
        <w:t xml:space="preserve">other </w:t>
      </w:r>
      <w:r w:rsidRPr="008F4D5A">
        <w:t>S</w:t>
      </w:r>
      <w:r w:rsidR="00994F77">
        <w:t xml:space="preserve">outh </w:t>
      </w:r>
      <w:r w:rsidRPr="008F4D5A">
        <w:t>E</w:t>
      </w:r>
      <w:r w:rsidR="00994F77">
        <w:t>ast</w:t>
      </w:r>
      <w:r w:rsidRPr="008F4D5A">
        <w:t xml:space="preserve"> Asian</w:t>
      </w:r>
      <w:r w:rsidR="008F4D5A" w:rsidRPr="008F4D5A">
        <w:t>:</w:t>
      </w:r>
      <w:r w:rsidR="00264AD1" w:rsidRPr="008F4D5A">
        <w:t xml:space="preserve"> </w:t>
      </w:r>
      <w:r w:rsidR="00AC25FB">
        <w:t>9</w:t>
      </w:r>
      <w:r w:rsidR="008F4D5A" w:rsidRPr="008F4D5A">
        <w:t>.</w:t>
      </w:r>
    </w:p>
    <w:p w:rsidR="00264AD1" w:rsidRDefault="00EC51B0" w:rsidP="00303FB4">
      <w:pPr>
        <w:widowControl/>
        <w:spacing w:after="0"/>
        <w:ind w:left="540"/>
      </w:pPr>
      <w:r>
        <w:t>Arabic or N</w:t>
      </w:r>
      <w:r w:rsidR="00C15CE0">
        <w:t>orth</w:t>
      </w:r>
      <w:r>
        <w:t xml:space="preserve"> African</w:t>
      </w:r>
      <w:r w:rsidR="008F4D5A">
        <w:t>:</w:t>
      </w:r>
      <w:r w:rsidR="00264AD1">
        <w:t xml:space="preserve"> </w:t>
      </w:r>
      <w:r w:rsidR="00AC25FB">
        <w:t>1</w:t>
      </w:r>
      <w:r w:rsidR="008F4D5A">
        <w:t>.</w:t>
      </w:r>
    </w:p>
    <w:p w:rsidR="00264AD1" w:rsidRDefault="00264AD1" w:rsidP="00303FB4">
      <w:pPr>
        <w:widowControl/>
        <w:ind w:left="540"/>
      </w:pPr>
      <w:r>
        <w:t>O</w:t>
      </w:r>
      <w:r w:rsidR="00EC51B0">
        <w:t>ther or mixed race</w:t>
      </w:r>
      <w:r w:rsidR="008F4D5A">
        <w:t>:</w:t>
      </w:r>
      <w:r>
        <w:t xml:space="preserve"> </w:t>
      </w:r>
      <w:r w:rsidR="00AC25FB">
        <w:t>13</w:t>
      </w:r>
      <w:r w:rsidR="00EC51B0">
        <w:t>.</w:t>
      </w:r>
    </w:p>
    <w:p w:rsidR="008F4D5A" w:rsidRDefault="008F4D5A" w:rsidP="00303FB4">
      <w:pPr>
        <w:widowControl/>
        <w:ind w:left="270"/>
        <w:sectPr w:rsidR="008F4D5A" w:rsidSect="00303FB4">
          <w:type w:val="continuous"/>
          <w:pgSz w:w="11906" w:h="16838"/>
          <w:pgMar w:top="1440" w:right="1080" w:bottom="1440" w:left="1080" w:header="706" w:footer="706" w:gutter="0"/>
          <w:cols w:num="2" w:space="0"/>
          <w:docGrid w:linePitch="360"/>
        </w:sectPr>
      </w:pPr>
    </w:p>
    <w:p w:rsidR="000F695B" w:rsidRDefault="00E23458" w:rsidP="00303FB4">
      <w:pPr>
        <w:widowControl/>
        <w:spacing w:before="480" w:after="120"/>
      </w:pPr>
      <w:r>
        <w:lastRenderedPageBreak/>
        <w:t>Asked how easy it was to get into the building, 265</w:t>
      </w:r>
      <w:r w:rsidR="003C6C62">
        <w:t xml:space="preserve"> patients</w:t>
      </w:r>
      <w:r>
        <w:t xml:space="preserve"> said very easy, 21 said fairly</w:t>
      </w:r>
      <w:r w:rsidR="003C6C62">
        <w:t xml:space="preserve"> easy</w:t>
      </w:r>
      <w:r>
        <w:t xml:space="preserve"> and only one not easy.</w:t>
      </w:r>
      <w:r w:rsidR="00303FB4">
        <w:t xml:space="preserve"> </w:t>
      </w:r>
      <w:r w:rsidR="00EB1ACB">
        <w:t>Prams and pushchairs are kept outside the main entrance because</w:t>
      </w:r>
      <w:r w:rsidR="003C6C62">
        <w:t>,</w:t>
      </w:r>
      <w:r w:rsidR="00EB1ACB">
        <w:t xml:space="preserve"> </w:t>
      </w:r>
      <w:r w:rsidR="00303FB4">
        <w:t xml:space="preserve">when they were allowed inside, </w:t>
      </w:r>
      <w:r w:rsidR="00EB1ACB">
        <w:t>some elderly patients had been knocked.</w:t>
      </w:r>
      <w:r w:rsidR="008804CF">
        <w:t xml:space="preserve"> A few patients commented that this arrangement create</w:t>
      </w:r>
      <w:r w:rsidR="00303FB4">
        <w:t>s</w:t>
      </w:r>
      <w:r w:rsidR="008804CF">
        <w:t xml:space="preserve"> problems for </w:t>
      </w:r>
      <w:r w:rsidR="00303FB4">
        <w:t xml:space="preserve">the parents of young children </w:t>
      </w:r>
      <w:r w:rsidR="008804CF">
        <w:t xml:space="preserve">and </w:t>
      </w:r>
      <w:r w:rsidR="00EB1ACB">
        <w:t xml:space="preserve">the Surgery is considering what can be done to improve the </w:t>
      </w:r>
      <w:r w:rsidR="00303FB4">
        <w:t>situation</w:t>
      </w:r>
      <w:r w:rsidR="00C6071B">
        <w:t>.</w:t>
      </w:r>
    </w:p>
    <w:p w:rsidR="00EB1ACB" w:rsidRDefault="003C6C62" w:rsidP="008804CF">
      <w:pPr>
        <w:widowControl/>
      </w:pPr>
      <w:r>
        <w:t>These</w:t>
      </w:r>
      <w:r w:rsidR="00EB1ACB">
        <w:t xml:space="preserve"> are some of the main findings of the Survey.</w:t>
      </w:r>
    </w:p>
    <w:p w:rsidR="00743404" w:rsidRDefault="000F695B" w:rsidP="00303FB4">
      <w:pPr>
        <w:pStyle w:val="ListParagraph"/>
        <w:widowControl/>
        <w:numPr>
          <w:ilvl w:val="0"/>
          <w:numId w:val="9"/>
        </w:numPr>
        <w:contextualSpacing w:val="0"/>
      </w:pPr>
      <w:r>
        <w:t xml:space="preserve">Sixteen patients did not say how clean they found the Surgery but </w:t>
      </w:r>
      <w:r w:rsidR="00335D96">
        <w:t>everyone</w:t>
      </w:r>
      <w:r w:rsidR="004119CE">
        <w:t xml:space="preserve"> who did</w:t>
      </w:r>
      <w:r>
        <w:t xml:space="preserve"> </w:t>
      </w:r>
      <w:r w:rsidR="008804CF">
        <w:t xml:space="preserve">say </w:t>
      </w:r>
      <w:r>
        <w:t>agreed or strongly agreed that it was clean.</w:t>
      </w:r>
    </w:p>
    <w:p w:rsidR="00303FB4" w:rsidRDefault="00303FB4" w:rsidP="00303FB4">
      <w:pPr>
        <w:pStyle w:val="ListParagraph"/>
        <w:widowControl/>
        <w:numPr>
          <w:ilvl w:val="0"/>
          <w:numId w:val="9"/>
        </w:numPr>
        <w:contextualSpacing w:val="0"/>
      </w:pPr>
      <w:r>
        <w:t>Only nine patients were dissatisfied with the Surgery opening hours.</w:t>
      </w:r>
    </w:p>
    <w:p w:rsidR="00743404" w:rsidRDefault="00EB1ACB" w:rsidP="00303FB4">
      <w:pPr>
        <w:pStyle w:val="ListParagraph"/>
        <w:widowControl/>
        <w:numPr>
          <w:ilvl w:val="0"/>
          <w:numId w:val="9"/>
        </w:numPr>
        <w:contextualSpacing w:val="0"/>
      </w:pPr>
      <w:r>
        <w:t xml:space="preserve">Only three patients </w:t>
      </w:r>
      <w:r w:rsidR="00700D3A">
        <w:t xml:space="preserve">rated the receptionists as </w:t>
      </w:r>
      <w:r>
        <w:t>un</w:t>
      </w:r>
      <w:r w:rsidR="00700D3A">
        <w:t>helpful</w:t>
      </w:r>
      <w:r>
        <w:t>.</w:t>
      </w:r>
    </w:p>
    <w:p w:rsidR="008804CF" w:rsidRDefault="00743404" w:rsidP="00303FB4">
      <w:pPr>
        <w:pStyle w:val="ListParagraph"/>
        <w:widowControl/>
        <w:numPr>
          <w:ilvl w:val="0"/>
          <w:numId w:val="9"/>
        </w:numPr>
        <w:contextualSpacing w:val="0"/>
      </w:pPr>
      <w:r>
        <w:lastRenderedPageBreak/>
        <w:t>Most patients had found it easy to make appointments in person at the Surgery and by telephone.</w:t>
      </w:r>
    </w:p>
    <w:p w:rsidR="00743404" w:rsidRDefault="00743404" w:rsidP="00303FB4">
      <w:pPr>
        <w:pStyle w:val="ListParagraph"/>
        <w:widowControl/>
        <w:numPr>
          <w:ilvl w:val="0"/>
          <w:numId w:val="9"/>
        </w:numPr>
        <w:contextualSpacing w:val="0"/>
      </w:pPr>
      <w:r>
        <w:t>None of the patients who took part in the Survey had made their appointments by email</w:t>
      </w:r>
      <w:r w:rsidR="008804CF">
        <w:t>.</w:t>
      </w:r>
      <w:r w:rsidR="00303FB4">
        <w:t xml:space="preserve"> </w:t>
      </w:r>
      <w:r>
        <w:t>Seven had booked their appointments on line and only one had not found it easy.</w:t>
      </w:r>
    </w:p>
    <w:p w:rsidR="00743404" w:rsidRDefault="002944C8" w:rsidP="00303FB4">
      <w:pPr>
        <w:pStyle w:val="ListParagraph"/>
        <w:widowControl/>
        <w:numPr>
          <w:ilvl w:val="0"/>
          <w:numId w:val="9"/>
        </w:numPr>
        <w:contextualSpacing w:val="0"/>
      </w:pPr>
      <w:r>
        <w:t>Of the patients who attended an Open Surgery</w:t>
      </w:r>
      <w:r w:rsidR="00AB56C8">
        <w:t>,</w:t>
      </w:r>
      <w:r>
        <w:t xml:space="preserve"> </w:t>
      </w:r>
      <w:r w:rsidR="008804CF">
        <w:t>four</w:t>
      </w:r>
      <w:r w:rsidR="00335D96">
        <w:t xml:space="preserve"> </w:t>
      </w:r>
      <w:r>
        <w:t xml:space="preserve">were seen within 30 minutes, </w:t>
      </w:r>
      <w:r w:rsidR="002C5198">
        <w:t>56</w:t>
      </w:r>
      <w:r>
        <w:t xml:space="preserve"> </w:t>
      </w:r>
      <w:r w:rsidR="00B604DA">
        <w:t>within 30</w:t>
      </w:r>
      <w:r w:rsidR="00335D96">
        <w:t>-60</w:t>
      </w:r>
      <w:r w:rsidR="00B604DA">
        <w:t xml:space="preserve"> minutes</w:t>
      </w:r>
      <w:r w:rsidR="00335D96">
        <w:t xml:space="preserve"> </w:t>
      </w:r>
      <w:r w:rsidR="00B604DA">
        <w:t xml:space="preserve">and </w:t>
      </w:r>
      <w:r w:rsidR="002C5198">
        <w:t>65 (</w:t>
      </w:r>
      <w:r w:rsidR="00274089">
        <w:t>52%</w:t>
      </w:r>
      <w:r w:rsidR="002C5198">
        <w:t>)</w:t>
      </w:r>
      <w:r w:rsidR="00274089">
        <w:t xml:space="preserve"> waited longer than an hour.</w:t>
      </w:r>
    </w:p>
    <w:p w:rsidR="00E76547" w:rsidRDefault="00B604DA" w:rsidP="00CB4C1A">
      <w:pPr>
        <w:pStyle w:val="ListParagraph"/>
        <w:widowControl/>
        <w:numPr>
          <w:ilvl w:val="0"/>
          <w:numId w:val="9"/>
        </w:numPr>
      </w:pPr>
      <w:r>
        <w:t>Of the</w:t>
      </w:r>
      <w:r w:rsidR="002C5198">
        <w:t xml:space="preserve"> 134</w:t>
      </w:r>
      <w:r>
        <w:t xml:space="preserve"> patients who attended</w:t>
      </w:r>
      <w:r w:rsidR="003C6C62">
        <w:t xml:space="preserve"> previously</w:t>
      </w:r>
      <w:r>
        <w:t xml:space="preserve"> </w:t>
      </w:r>
      <w:r w:rsidR="00CF124C">
        <w:t>booked</w:t>
      </w:r>
      <w:r>
        <w:t xml:space="preserve"> appointments, </w:t>
      </w:r>
      <w:r w:rsidR="002C5198">
        <w:t>109</w:t>
      </w:r>
      <w:r w:rsidR="00E76547">
        <w:t xml:space="preserve"> </w:t>
      </w:r>
      <w:r>
        <w:t xml:space="preserve">said their appointment time had been </w:t>
      </w:r>
      <w:r w:rsidR="003B2F6B">
        <w:t>met</w:t>
      </w:r>
      <w:r w:rsidR="00E76547">
        <w:t>.</w:t>
      </w:r>
    </w:p>
    <w:p w:rsidR="0079148C" w:rsidRDefault="007004EC" w:rsidP="00303FB4">
      <w:pPr>
        <w:widowControl/>
      </w:pPr>
      <w:r>
        <w:t>Many patients did not complete the final part of the questionnaire with information about their appointment and many other</w:t>
      </w:r>
      <w:r w:rsidR="00F76CBB">
        <w:t>s</w:t>
      </w:r>
      <w:r>
        <w:t xml:space="preserve"> </w:t>
      </w:r>
      <w:r w:rsidR="00303FB4">
        <w:t>seemed to have</w:t>
      </w:r>
      <w:r>
        <w:t xml:space="preserve"> completed it</w:t>
      </w:r>
      <w:r w:rsidR="00FF616C">
        <w:t xml:space="preserve"> </w:t>
      </w:r>
      <w:r w:rsidR="00FF616C" w:rsidRPr="00E76547">
        <w:t>before</w:t>
      </w:r>
      <w:r w:rsidR="00FF616C">
        <w:t xml:space="preserve"> their appointment, </w:t>
      </w:r>
      <w:r w:rsidR="00084003">
        <w:t>presumably</w:t>
      </w:r>
      <w:r w:rsidR="00FF616C">
        <w:t xml:space="preserve"> drawing on</w:t>
      </w:r>
      <w:r>
        <w:t xml:space="preserve"> previous experience. </w:t>
      </w:r>
      <w:r w:rsidR="00F76CBB">
        <w:t>Notwithstanding, t</w:t>
      </w:r>
      <w:r>
        <w:t xml:space="preserve">he following table summarises the </w:t>
      </w:r>
      <w:r w:rsidR="00EC622C">
        <w:t>responses</w:t>
      </w:r>
      <w:r w:rsidR="00F76CBB">
        <w:t xml:space="preserve"> and indicate a very high level of satisfaction</w:t>
      </w:r>
      <w:r>
        <w:t>.</w:t>
      </w:r>
    </w:p>
    <w:tbl>
      <w:tblPr>
        <w:tblStyle w:val="TableGrid"/>
        <w:tblW w:w="0" w:type="auto"/>
        <w:tblInd w:w="1695" w:type="dxa"/>
        <w:tblLook w:val="04A0" w:firstRow="1" w:lastRow="0" w:firstColumn="1" w:lastColumn="0" w:noHBand="0" w:noVBand="1"/>
      </w:tblPr>
      <w:tblGrid>
        <w:gridCol w:w="2400"/>
        <w:gridCol w:w="2400"/>
        <w:gridCol w:w="2401"/>
      </w:tblGrid>
      <w:tr w:rsidR="006456B9" w:rsidTr="00EB2D11">
        <w:tc>
          <w:tcPr>
            <w:tcW w:w="7201" w:type="dxa"/>
            <w:gridSpan w:val="3"/>
            <w:vAlign w:val="center"/>
          </w:tcPr>
          <w:p w:rsidR="006456B9" w:rsidRPr="006456B9" w:rsidRDefault="006456B9" w:rsidP="006456B9">
            <w:pPr>
              <w:widowControl/>
              <w:jc w:val="center"/>
              <w:rPr>
                <w:b/>
              </w:rPr>
            </w:pPr>
            <w:r w:rsidRPr="006456B9">
              <w:rPr>
                <w:b/>
              </w:rPr>
              <w:t>Summary of patients experiences of their appointments</w:t>
            </w:r>
          </w:p>
        </w:tc>
      </w:tr>
      <w:tr w:rsidR="006456B9" w:rsidTr="00EB2D11">
        <w:tc>
          <w:tcPr>
            <w:tcW w:w="2400" w:type="dxa"/>
            <w:vMerge w:val="restart"/>
            <w:vAlign w:val="center"/>
          </w:tcPr>
          <w:p w:rsidR="006456B9" w:rsidRDefault="00EC622C" w:rsidP="006456B9">
            <w:pPr>
              <w:widowControl/>
              <w:jc w:val="left"/>
            </w:pPr>
            <w:r>
              <w:t>Patients’ needs listened to</w:t>
            </w:r>
          </w:p>
        </w:tc>
        <w:tc>
          <w:tcPr>
            <w:tcW w:w="2400" w:type="dxa"/>
            <w:vAlign w:val="center"/>
          </w:tcPr>
          <w:p w:rsidR="006456B9" w:rsidRDefault="006456B9" w:rsidP="006456B9">
            <w:pPr>
              <w:widowControl/>
              <w:jc w:val="left"/>
            </w:pPr>
            <w:r>
              <w:t>Strongly agree</w:t>
            </w:r>
          </w:p>
        </w:tc>
        <w:tc>
          <w:tcPr>
            <w:tcW w:w="2401" w:type="dxa"/>
            <w:vAlign w:val="center"/>
          </w:tcPr>
          <w:p w:rsidR="006456B9" w:rsidRDefault="002C5198" w:rsidP="002C5198">
            <w:pPr>
              <w:widowControl/>
              <w:jc w:val="center"/>
            </w:pPr>
            <w:r>
              <w:t>175</w:t>
            </w:r>
          </w:p>
        </w:tc>
      </w:tr>
      <w:tr w:rsidR="006456B9" w:rsidTr="00EB2D11">
        <w:tc>
          <w:tcPr>
            <w:tcW w:w="2400" w:type="dxa"/>
            <w:vMerge/>
            <w:vAlign w:val="center"/>
          </w:tcPr>
          <w:p w:rsidR="006456B9" w:rsidRDefault="006456B9" w:rsidP="006456B9">
            <w:pPr>
              <w:widowControl/>
              <w:jc w:val="left"/>
            </w:pPr>
          </w:p>
        </w:tc>
        <w:tc>
          <w:tcPr>
            <w:tcW w:w="2400" w:type="dxa"/>
            <w:vAlign w:val="center"/>
          </w:tcPr>
          <w:p w:rsidR="006456B9" w:rsidRDefault="006456B9" w:rsidP="006456B9">
            <w:pPr>
              <w:widowControl/>
              <w:jc w:val="left"/>
            </w:pPr>
            <w:r>
              <w:t>Agree</w:t>
            </w:r>
          </w:p>
        </w:tc>
        <w:tc>
          <w:tcPr>
            <w:tcW w:w="2401" w:type="dxa"/>
            <w:vAlign w:val="center"/>
          </w:tcPr>
          <w:p w:rsidR="006456B9" w:rsidRDefault="002C5198" w:rsidP="002C5198">
            <w:pPr>
              <w:widowControl/>
              <w:jc w:val="center"/>
            </w:pPr>
            <w:r>
              <w:t>90</w:t>
            </w:r>
          </w:p>
        </w:tc>
      </w:tr>
      <w:tr w:rsidR="006456B9" w:rsidTr="00EB2D11">
        <w:tc>
          <w:tcPr>
            <w:tcW w:w="2400" w:type="dxa"/>
            <w:vMerge/>
            <w:vAlign w:val="center"/>
          </w:tcPr>
          <w:p w:rsidR="006456B9" w:rsidRDefault="006456B9" w:rsidP="006456B9">
            <w:pPr>
              <w:widowControl/>
              <w:jc w:val="left"/>
            </w:pPr>
          </w:p>
        </w:tc>
        <w:tc>
          <w:tcPr>
            <w:tcW w:w="2400" w:type="dxa"/>
            <w:vAlign w:val="center"/>
          </w:tcPr>
          <w:p w:rsidR="006456B9" w:rsidRDefault="006456B9" w:rsidP="006456B9">
            <w:pPr>
              <w:widowControl/>
              <w:jc w:val="left"/>
            </w:pPr>
            <w:r>
              <w:t>Disagree</w:t>
            </w:r>
          </w:p>
        </w:tc>
        <w:tc>
          <w:tcPr>
            <w:tcW w:w="2401" w:type="dxa"/>
            <w:vAlign w:val="center"/>
          </w:tcPr>
          <w:p w:rsidR="006456B9" w:rsidRDefault="002C5198" w:rsidP="006456B9">
            <w:pPr>
              <w:widowControl/>
              <w:jc w:val="center"/>
            </w:pPr>
            <w:r>
              <w:t>2</w:t>
            </w:r>
          </w:p>
        </w:tc>
      </w:tr>
      <w:tr w:rsidR="006456B9" w:rsidTr="00EB2D11">
        <w:tc>
          <w:tcPr>
            <w:tcW w:w="2400" w:type="dxa"/>
            <w:vMerge/>
            <w:vAlign w:val="center"/>
          </w:tcPr>
          <w:p w:rsidR="006456B9" w:rsidRDefault="006456B9" w:rsidP="006456B9">
            <w:pPr>
              <w:widowControl/>
              <w:jc w:val="left"/>
            </w:pPr>
          </w:p>
        </w:tc>
        <w:tc>
          <w:tcPr>
            <w:tcW w:w="2400" w:type="dxa"/>
            <w:vAlign w:val="center"/>
          </w:tcPr>
          <w:p w:rsidR="006456B9" w:rsidRDefault="006456B9" w:rsidP="006456B9">
            <w:pPr>
              <w:widowControl/>
              <w:jc w:val="left"/>
            </w:pPr>
            <w:r>
              <w:t>Strongly disagree</w:t>
            </w:r>
          </w:p>
        </w:tc>
        <w:tc>
          <w:tcPr>
            <w:tcW w:w="2401" w:type="dxa"/>
            <w:vAlign w:val="center"/>
          </w:tcPr>
          <w:p w:rsidR="006456B9" w:rsidRDefault="002C5198" w:rsidP="006456B9">
            <w:pPr>
              <w:widowControl/>
              <w:jc w:val="center"/>
            </w:pPr>
            <w:r>
              <w:t>1</w:t>
            </w:r>
          </w:p>
        </w:tc>
      </w:tr>
      <w:tr w:rsidR="006456B9" w:rsidTr="00EB2D11">
        <w:tc>
          <w:tcPr>
            <w:tcW w:w="2400" w:type="dxa"/>
            <w:vMerge w:val="restart"/>
            <w:vAlign w:val="center"/>
          </w:tcPr>
          <w:p w:rsidR="006456B9" w:rsidRDefault="00EC622C" w:rsidP="00F76CBB">
            <w:pPr>
              <w:widowControl/>
              <w:jc w:val="left"/>
            </w:pPr>
            <w:r>
              <w:t>P</w:t>
            </w:r>
            <w:r w:rsidR="006456B9">
              <w:t xml:space="preserve">atients treatment </w:t>
            </w:r>
            <w:r>
              <w:t xml:space="preserve">explained </w:t>
            </w:r>
            <w:r w:rsidR="006456B9">
              <w:t>and</w:t>
            </w:r>
            <w:r>
              <w:t xml:space="preserve"> questions answered</w:t>
            </w:r>
          </w:p>
        </w:tc>
        <w:tc>
          <w:tcPr>
            <w:tcW w:w="2400" w:type="dxa"/>
            <w:vAlign w:val="center"/>
          </w:tcPr>
          <w:p w:rsidR="006456B9" w:rsidRDefault="006456B9" w:rsidP="006456B9">
            <w:pPr>
              <w:widowControl/>
              <w:jc w:val="left"/>
            </w:pPr>
            <w:r>
              <w:t>Strongly agree</w:t>
            </w:r>
          </w:p>
        </w:tc>
        <w:tc>
          <w:tcPr>
            <w:tcW w:w="2401" w:type="dxa"/>
            <w:vAlign w:val="center"/>
          </w:tcPr>
          <w:p w:rsidR="006456B9" w:rsidRDefault="002C5198" w:rsidP="002C5198">
            <w:pPr>
              <w:widowControl/>
              <w:jc w:val="center"/>
            </w:pPr>
            <w:r>
              <w:t>164</w:t>
            </w:r>
          </w:p>
        </w:tc>
      </w:tr>
      <w:tr w:rsidR="006456B9" w:rsidTr="00EB2D11">
        <w:tc>
          <w:tcPr>
            <w:tcW w:w="2400" w:type="dxa"/>
            <w:vMerge/>
            <w:vAlign w:val="center"/>
          </w:tcPr>
          <w:p w:rsidR="006456B9" w:rsidRDefault="006456B9" w:rsidP="006456B9">
            <w:pPr>
              <w:widowControl/>
              <w:jc w:val="left"/>
            </w:pPr>
          </w:p>
        </w:tc>
        <w:tc>
          <w:tcPr>
            <w:tcW w:w="2400" w:type="dxa"/>
            <w:vAlign w:val="center"/>
          </w:tcPr>
          <w:p w:rsidR="006456B9" w:rsidRDefault="006456B9" w:rsidP="006456B9">
            <w:pPr>
              <w:widowControl/>
              <w:jc w:val="left"/>
            </w:pPr>
            <w:r>
              <w:t>Agree</w:t>
            </w:r>
          </w:p>
        </w:tc>
        <w:tc>
          <w:tcPr>
            <w:tcW w:w="2401" w:type="dxa"/>
            <w:vAlign w:val="center"/>
          </w:tcPr>
          <w:p w:rsidR="006456B9" w:rsidRDefault="002C5198" w:rsidP="002C5198">
            <w:pPr>
              <w:widowControl/>
              <w:jc w:val="center"/>
            </w:pPr>
            <w:r>
              <w:t>95</w:t>
            </w:r>
          </w:p>
        </w:tc>
      </w:tr>
      <w:tr w:rsidR="006456B9" w:rsidTr="00EB2D11">
        <w:tc>
          <w:tcPr>
            <w:tcW w:w="2400" w:type="dxa"/>
            <w:vMerge/>
            <w:vAlign w:val="center"/>
          </w:tcPr>
          <w:p w:rsidR="006456B9" w:rsidRDefault="006456B9" w:rsidP="006456B9">
            <w:pPr>
              <w:widowControl/>
              <w:jc w:val="left"/>
            </w:pPr>
          </w:p>
        </w:tc>
        <w:tc>
          <w:tcPr>
            <w:tcW w:w="2400" w:type="dxa"/>
            <w:vAlign w:val="center"/>
          </w:tcPr>
          <w:p w:rsidR="006456B9" w:rsidRDefault="006456B9" w:rsidP="006456B9">
            <w:pPr>
              <w:widowControl/>
              <w:jc w:val="left"/>
            </w:pPr>
            <w:r>
              <w:t>Disagree</w:t>
            </w:r>
          </w:p>
        </w:tc>
        <w:tc>
          <w:tcPr>
            <w:tcW w:w="2401" w:type="dxa"/>
            <w:vAlign w:val="center"/>
          </w:tcPr>
          <w:p w:rsidR="006456B9" w:rsidRDefault="002C5198" w:rsidP="006456B9">
            <w:pPr>
              <w:widowControl/>
              <w:jc w:val="center"/>
            </w:pPr>
            <w:r>
              <w:t>6</w:t>
            </w:r>
          </w:p>
        </w:tc>
      </w:tr>
      <w:tr w:rsidR="006456B9" w:rsidTr="00EB2D11">
        <w:tc>
          <w:tcPr>
            <w:tcW w:w="2400" w:type="dxa"/>
            <w:vMerge/>
            <w:vAlign w:val="center"/>
          </w:tcPr>
          <w:p w:rsidR="006456B9" w:rsidRDefault="006456B9" w:rsidP="006456B9">
            <w:pPr>
              <w:widowControl/>
              <w:jc w:val="left"/>
            </w:pPr>
          </w:p>
        </w:tc>
        <w:tc>
          <w:tcPr>
            <w:tcW w:w="2400" w:type="dxa"/>
            <w:vAlign w:val="center"/>
          </w:tcPr>
          <w:p w:rsidR="006456B9" w:rsidRDefault="006456B9" w:rsidP="006456B9">
            <w:pPr>
              <w:widowControl/>
              <w:jc w:val="left"/>
            </w:pPr>
            <w:r>
              <w:t>Strongly disagree</w:t>
            </w:r>
          </w:p>
        </w:tc>
        <w:tc>
          <w:tcPr>
            <w:tcW w:w="2401" w:type="dxa"/>
            <w:vAlign w:val="center"/>
          </w:tcPr>
          <w:p w:rsidR="006456B9" w:rsidRDefault="002C5198" w:rsidP="006456B9">
            <w:pPr>
              <w:widowControl/>
              <w:jc w:val="center"/>
            </w:pPr>
            <w:r>
              <w:t>1</w:t>
            </w:r>
          </w:p>
        </w:tc>
      </w:tr>
      <w:tr w:rsidR="006456B9" w:rsidTr="00EB2D11">
        <w:tc>
          <w:tcPr>
            <w:tcW w:w="2400" w:type="dxa"/>
            <w:vMerge w:val="restart"/>
            <w:vAlign w:val="center"/>
          </w:tcPr>
          <w:p w:rsidR="006456B9" w:rsidRDefault="00C37DEA" w:rsidP="00F76CBB">
            <w:pPr>
              <w:widowControl/>
              <w:jc w:val="left"/>
            </w:pPr>
            <w:r>
              <w:br w:type="page"/>
            </w:r>
            <w:r w:rsidR="00EC622C">
              <w:t>P</w:t>
            </w:r>
            <w:r w:rsidR="006456B9">
              <w:t>atients</w:t>
            </w:r>
            <w:r w:rsidR="00EC622C">
              <w:t xml:space="preserve"> treated</w:t>
            </w:r>
            <w:r w:rsidR="006456B9">
              <w:t xml:space="preserve"> with respect, dignity, confidence and trust</w:t>
            </w:r>
          </w:p>
        </w:tc>
        <w:tc>
          <w:tcPr>
            <w:tcW w:w="2400" w:type="dxa"/>
            <w:vAlign w:val="center"/>
          </w:tcPr>
          <w:p w:rsidR="006456B9" w:rsidRDefault="006456B9" w:rsidP="006456B9">
            <w:pPr>
              <w:widowControl/>
              <w:jc w:val="left"/>
            </w:pPr>
            <w:r>
              <w:t>Strongly agree</w:t>
            </w:r>
          </w:p>
        </w:tc>
        <w:tc>
          <w:tcPr>
            <w:tcW w:w="2401" w:type="dxa"/>
            <w:vAlign w:val="center"/>
          </w:tcPr>
          <w:p w:rsidR="006456B9" w:rsidRDefault="002C5198" w:rsidP="006456B9">
            <w:pPr>
              <w:widowControl/>
              <w:jc w:val="center"/>
            </w:pPr>
            <w:r>
              <w:t>197</w:t>
            </w:r>
          </w:p>
        </w:tc>
      </w:tr>
      <w:tr w:rsidR="006456B9" w:rsidTr="00EB2D11">
        <w:tc>
          <w:tcPr>
            <w:tcW w:w="2400" w:type="dxa"/>
            <w:vMerge/>
            <w:vAlign w:val="center"/>
          </w:tcPr>
          <w:p w:rsidR="006456B9" w:rsidRDefault="006456B9" w:rsidP="006456B9">
            <w:pPr>
              <w:widowControl/>
              <w:jc w:val="left"/>
            </w:pPr>
          </w:p>
        </w:tc>
        <w:tc>
          <w:tcPr>
            <w:tcW w:w="2400" w:type="dxa"/>
            <w:vAlign w:val="center"/>
          </w:tcPr>
          <w:p w:rsidR="006456B9" w:rsidRDefault="006456B9" w:rsidP="006456B9">
            <w:pPr>
              <w:widowControl/>
              <w:jc w:val="left"/>
            </w:pPr>
            <w:r>
              <w:t>Agree</w:t>
            </w:r>
          </w:p>
        </w:tc>
        <w:tc>
          <w:tcPr>
            <w:tcW w:w="2401" w:type="dxa"/>
            <w:vAlign w:val="center"/>
          </w:tcPr>
          <w:p w:rsidR="006456B9" w:rsidRDefault="002C5198" w:rsidP="006456B9">
            <w:pPr>
              <w:widowControl/>
              <w:jc w:val="center"/>
            </w:pPr>
            <w:r>
              <w:t>71</w:t>
            </w:r>
          </w:p>
        </w:tc>
      </w:tr>
      <w:tr w:rsidR="006456B9" w:rsidTr="00EB2D11">
        <w:tc>
          <w:tcPr>
            <w:tcW w:w="2400" w:type="dxa"/>
            <w:vMerge/>
            <w:vAlign w:val="center"/>
          </w:tcPr>
          <w:p w:rsidR="006456B9" w:rsidRDefault="006456B9" w:rsidP="006456B9">
            <w:pPr>
              <w:widowControl/>
              <w:jc w:val="left"/>
            </w:pPr>
          </w:p>
        </w:tc>
        <w:tc>
          <w:tcPr>
            <w:tcW w:w="2400" w:type="dxa"/>
            <w:vAlign w:val="center"/>
          </w:tcPr>
          <w:p w:rsidR="006456B9" w:rsidRDefault="006456B9" w:rsidP="006456B9">
            <w:pPr>
              <w:widowControl/>
              <w:jc w:val="left"/>
            </w:pPr>
            <w:r>
              <w:t>Disagree</w:t>
            </w:r>
          </w:p>
        </w:tc>
        <w:tc>
          <w:tcPr>
            <w:tcW w:w="2401" w:type="dxa"/>
            <w:vAlign w:val="center"/>
          </w:tcPr>
          <w:p w:rsidR="006456B9" w:rsidRDefault="002C5198" w:rsidP="006456B9">
            <w:pPr>
              <w:widowControl/>
              <w:jc w:val="center"/>
            </w:pPr>
            <w:r>
              <w:t>1</w:t>
            </w:r>
          </w:p>
        </w:tc>
      </w:tr>
      <w:tr w:rsidR="006456B9" w:rsidTr="00EB2D11">
        <w:tc>
          <w:tcPr>
            <w:tcW w:w="2400" w:type="dxa"/>
            <w:vMerge/>
            <w:vAlign w:val="center"/>
          </w:tcPr>
          <w:p w:rsidR="006456B9" w:rsidRDefault="006456B9" w:rsidP="006456B9">
            <w:pPr>
              <w:widowControl/>
              <w:jc w:val="left"/>
            </w:pPr>
          </w:p>
        </w:tc>
        <w:tc>
          <w:tcPr>
            <w:tcW w:w="2400" w:type="dxa"/>
            <w:vAlign w:val="center"/>
          </w:tcPr>
          <w:p w:rsidR="006456B9" w:rsidRDefault="006456B9" w:rsidP="006456B9">
            <w:pPr>
              <w:widowControl/>
              <w:jc w:val="left"/>
            </w:pPr>
            <w:r>
              <w:t>Strongly disagree</w:t>
            </w:r>
          </w:p>
        </w:tc>
        <w:tc>
          <w:tcPr>
            <w:tcW w:w="2401" w:type="dxa"/>
            <w:vAlign w:val="center"/>
          </w:tcPr>
          <w:p w:rsidR="006456B9" w:rsidRDefault="002C5198" w:rsidP="006456B9">
            <w:pPr>
              <w:widowControl/>
              <w:jc w:val="center"/>
            </w:pPr>
            <w:r>
              <w:t>1</w:t>
            </w:r>
          </w:p>
        </w:tc>
      </w:tr>
      <w:tr w:rsidR="006456B9" w:rsidTr="00EB2D11">
        <w:tc>
          <w:tcPr>
            <w:tcW w:w="2400" w:type="dxa"/>
            <w:vMerge w:val="restart"/>
            <w:vAlign w:val="center"/>
          </w:tcPr>
          <w:p w:rsidR="006456B9" w:rsidRDefault="006456B9" w:rsidP="00F76CBB">
            <w:pPr>
              <w:widowControl/>
              <w:jc w:val="left"/>
            </w:pPr>
            <w:r>
              <w:t>Patients sufficiently involved in decisions about their care</w:t>
            </w:r>
          </w:p>
        </w:tc>
        <w:tc>
          <w:tcPr>
            <w:tcW w:w="2400" w:type="dxa"/>
            <w:vAlign w:val="center"/>
          </w:tcPr>
          <w:p w:rsidR="006456B9" w:rsidRDefault="006456B9" w:rsidP="006456B9">
            <w:pPr>
              <w:widowControl/>
              <w:jc w:val="left"/>
            </w:pPr>
            <w:r>
              <w:t>Strongly agree</w:t>
            </w:r>
          </w:p>
        </w:tc>
        <w:tc>
          <w:tcPr>
            <w:tcW w:w="2401" w:type="dxa"/>
            <w:vAlign w:val="center"/>
          </w:tcPr>
          <w:p w:rsidR="006456B9" w:rsidRDefault="002C5198" w:rsidP="006456B9">
            <w:pPr>
              <w:widowControl/>
              <w:jc w:val="center"/>
            </w:pPr>
            <w:r>
              <w:t>160</w:t>
            </w:r>
          </w:p>
        </w:tc>
      </w:tr>
      <w:tr w:rsidR="006456B9" w:rsidTr="00EB2D11">
        <w:tc>
          <w:tcPr>
            <w:tcW w:w="2400" w:type="dxa"/>
            <w:vMerge/>
            <w:vAlign w:val="center"/>
          </w:tcPr>
          <w:p w:rsidR="006456B9" w:rsidRDefault="006456B9" w:rsidP="006456B9">
            <w:pPr>
              <w:widowControl/>
              <w:jc w:val="left"/>
            </w:pPr>
          </w:p>
        </w:tc>
        <w:tc>
          <w:tcPr>
            <w:tcW w:w="2400" w:type="dxa"/>
            <w:vAlign w:val="center"/>
          </w:tcPr>
          <w:p w:rsidR="006456B9" w:rsidRDefault="006456B9" w:rsidP="006456B9">
            <w:pPr>
              <w:widowControl/>
              <w:jc w:val="left"/>
            </w:pPr>
            <w:r>
              <w:t>Agree</w:t>
            </w:r>
          </w:p>
        </w:tc>
        <w:tc>
          <w:tcPr>
            <w:tcW w:w="2401" w:type="dxa"/>
            <w:vAlign w:val="center"/>
          </w:tcPr>
          <w:p w:rsidR="006456B9" w:rsidRDefault="002C5198" w:rsidP="006456B9">
            <w:pPr>
              <w:widowControl/>
              <w:jc w:val="center"/>
            </w:pPr>
            <w:r>
              <w:t>104</w:t>
            </w:r>
          </w:p>
        </w:tc>
      </w:tr>
      <w:tr w:rsidR="006456B9" w:rsidTr="00EB2D11">
        <w:tc>
          <w:tcPr>
            <w:tcW w:w="2400" w:type="dxa"/>
            <w:vMerge/>
            <w:vAlign w:val="center"/>
          </w:tcPr>
          <w:p w:rsidR="006456B9" w:rsidRDefault="006456B9" w:rsidP="006456B9">
            <w:pPr>
              <w:widowControl/>
              <w:jc w:val="left"/>
            </w:pPr>
          </w:p>
        </w:tc>
        <w:tc>
          <w:tcPr>
            <w:tcW w:w="2400" w:type="dxa"/>
            <w:vAlign w:val="center"/>
          </w:tcPr>
          <w:p w:rsidR="006456B9" w:rsidRDefault="006456B9" w:rsidP="006456B9">
            <w:pPr>
              <w:widowControl/>
              <w:jc w:val="left"/>
            </w:pPr>
            <w:r>
              <w:t>Disagree</w:t>
            </w:r>
          </w:p>
        </w:tc>
        <w:tc>
          <w:tcPr>
            <w:tcW w:w="2401" w:type="dxa"/>
            <w:vAlign w:val="center"/>
          </w:tcPr>
          <w:p w:rsidR="006456B9" w:rsidRDefault="00067996" w:rsidP="006456B9">
            <w:pPr>
              <w:widowControl/>
              <w:jc w:val="center"/>
            </w:pPr>
            <w:r>
              <w:t>nil</w:t>
            </w:r>
          </w:p>
        </w:tc>
      </w:tr>
      <w:tr w:rsidR="006456B9" w:rsidTr="00EB2D11">
        <w:tc>
          <w:tcPr>
            <w:tcW w:w="2400" w:type="dxa"/>
            <w:vMerge/>
            <w:vAlign w:val="center"/>
          </w:tcPr>
          <w:p w:rsidR="006456B9" w:rsidRDefault="006456B9" w:rsidP="006456B9">
            <w:pPr>
              <w:widowControl/>
              <w:jc w:val="left"/>
            </w:pPr>
          </w:p>
        </w:tc>
        <w:tc>
          <w:tcPr>
            <w:tcW w:w="2400" w:type="dxa"/>
            <w:vAlign w:val="center"/>
          </w:tcPr>
          <w:p w:rsidR="006456B9" w:rsidRDefault="006456B9" w:rsidP="006456B9">
            <w:pPr>
              <w:widowControl/>
              <w:jc w:val="left"/>
            </w:pPr>
            <w:r>
              <w:t>Strongly disagree</w:t>
            </w:r>
          </w:p>
        </w:tc>
        <w:tc>
          <w:tcPr>
            <w:tcW w:w="2401" w:type="dxa"/>
            <w:vAlign w:val="center"/>
          </w:tcPr>
          <w:p w:rsidR="006456B9" w:rsidRDefault="002C5198" w:rsidP="006456B9">
            <w:pPr>
              <w:widowControl/>
              <w:jc w:val="center"/>
            </w:pPr>
            <w:r>
              <w:t>2</w:t>
            </w:r>
          </w:p>
        </w:tc>
      </w:tr>
    </w:tbl>
    <w:p w:rsidR="00067996" w:rsidRDefault="00067996" w:rsidP="006456B9">
      <w:pPr>
        <w:widowControl/>
        <w:tabs>
          <w:tab w:val="left" w:pos="6615"/>
        </w:tabs>
        <w:ind w:left="360"/>
      </w:pPr>
    </w:p>
    <w:p w:rsidR="00FE79FF" w:rsidRDefault="000F695B" w:rsidP="00303FB4">
      <w:pPr>
        <w:widowControl/>
      </w:pPr>
      <w:r>
        <w:t xml:space="preserve">Of the patients who said whether they knew who to contact if they are not satisfied with the service given by the Surgery, approximately </w:t>
      </w:r>
      <w:r w:rsidR="003C6C62">
        <w:t>two</w:t>
      </w:r>
      <w:r>
        <w:t>-third</w:t>
      </w:r>
      <w:r w:rsidR="003C6C62">
        <w:t>s</w:t>
      </w:r>
      <w:r>
        <w:t xml:space="preserve"> did</w:t>
      </w:r>
      <w:r w:rsidR="003C6C62">
        <w:t xml:space="preserve"> not</w:t>
      </w:r>
      <w:r>
        <w:t xml:space="preserve"> know</w:t>
      </w:r>
      <w:r w:rsidR="003C6C62">
        <w:t>.</w:t>
      </w:r>
      <w:r>
        <w:t xml:space="preserve"> </w:t>
      </w:r>
      <w:r w:rsidR="008804CF">
        <w:t>But</w:t>
      </w:r>
      <w:r>
        <w:t xml:space="preserve">, as one </w:t>
      </w:r>
      <w:r w:rsidR="008804CF">
        <w:t>patient observed,</w:t>
      </w:r>
      <w:r>
        <w:t xml:space="preserve"> ‘</w:t>
      </w:r>
      <w:r w:rsidR="008804CF">
        <w:t>I</w:t>
      </w:r>
      <w:r w:rsidRPr="00EB2D11">
        <w:t>f needed I can google it</w:t>
      </w:r>
      <w:r>
        <w:t>’</w:t>
      </w:r>
      <w:r w:rsidRPr="00EB2D11">
        <w:t>.</w:t>
      </w:r>
    </w:p>
    <w:p w:rsidR="008804CF" w:rsidRDefault="00067996" w:rsidP="00303FB4">
      <w:pPr>
        <w:widowControl/>
      </w:pPr>
      <w:r>
        <w:t>The final question on the Survey asked patients to rate the service</w:t>
      </w:r>
      <w:r w:rsidR="00274089">
        <w:t xml:space="preserve"> </w:t>
      </w:r>
      <w:r>
        <w:t>they had received</w:t>
      </w:r>
      <w:r w:rsidR="00FE79FF">
        <w:t xml:space="preserve"> ‘in general’</w:t>
      </w:r>
      <w:r>
        <w:t xml:space="preserve">. </w:t>
      </w:r>
      <w:r w:rsidR="005127EB">
        <w:t>Fifteen did not answer</w:t>
      </w:r>
      <w:r w:rsidR="00FF1EC8">
        <w:t xml:space="preserve"> and</w:t>
      </w:r>
      <w:r w:rsidR="005127EB">
        <w:t xml:space="preserve"> one preferred not to say</w:t>
      </w:r>
      <w:r w:rsidR="008804CF">
        <w:t xml:space="preserve">. Of the rest, 149 replied excellent, 96 very good and 21 good. </w:t>
      </w:r>
      <w:r w:rsidR="003C6C62">
        <w:t>T</w:t>
      </w:r>
      <w:r w:rsidR="008804CF">
        <w:t>hree ranked the service as fair and two as poor.</w:t>
      </w:r>
    </w:p>
    <w:p w:rsidR="008804CF" w:rsidRDefault="00AB56C8" w:rsidP="00303FB4">
      <w:pPr>
        <w:widowControl/>
      </w:pPr>
      <w:r w:rsidRPr="008804CF">
        <w:t>A clear finding of the Survey is</w:t>
      </w:r>
      <w:r w:rsidR="00D146FC" w:rsidRPr="008804CF">
        <w:t xml:space="preserve"> that </w:t>
      </w:r>
      <w:r w:rsidR="008804CF" w:rsidRPr="008804CF">
        <w:t>a high majority of</w:t>
      </w:r>
      <w:r w:rsidR="00D146FC" w:rsidRPr="008804CF">
        <w:t xml:space="preserve"> patients are satisfied with the service</w:t>
      </w:r>
      <w:r w:rsidR="00E76547" w:rsidRPr="008804CF">
        <w:t xml:space="preserve">, particularly </w:t>
      </w:r>
      <w:r w:rsidRPr="008804CF">
        <w:t>the Open Surgery</w:t>
      </w:r>
      <w:r w:rsidR="008804CF" w:rsidRPr="008804CF">
        <w:t xml:space="preserve"> each weekday morning</w:t>
      </w:r>
      <w:r w:rsidR="00D146FC" w:rsidRPr="008804CF">
        <w:t>.</w:t>
      </w:r>
      <w:r w:rsidR="00B22E83">
        <w:t xml:space="preserve"> As one patient expressed it</w:t>
      </w:r>
      <w:bookmarkStart w:id="0" w:name="_GoBack"/>
      <w:bookmarkEnd w:id="0"/>
      <w:r w:rsidR="00B22E83">
        <w:t>,</w:t>
      </w:r>
      <w:r w:rsidR="00743404" w:rsidRPr="008804CF">
        <w:t xml:space="preserve"> </w:t>
      </w:r>
      <w:r w:rsidR="008804CF">
        <w:t>‘</w:t>
      </w:r>
      <w:r w:rsidR="008804CF" w:rsidRPr="008804CF">
        <w:t>The walk</w:t>
      </w:r>
      <w:r w:rsidR="003C6C62">
        <w:t>-</w:t>
      </w:r>
      <w:r w:rsidR="008804CF" w:rsidRPr="008804CF">
        <w:t>in surgery provides me with the care I need on the day health issues arise for me.</w:t>
      </w:r>
      <w:r w:rsidR="008804CF">
        <w:t>’</w:t>
      </w:r>
    </w:p>
    <w:p w:rsidR="00EB2D11" w:rsidRPr="00EB2D11" w:rsidRDefault="008804CF" w:rsidP="00303FB4">
      <w:pPr>
        <w:widowControl/>
        <w:rPr>
          <w:i/>
        </w:rPr>
      </w:pPr>
      <w:r>
        <w:t>This summary was compiled by the</w:t>
      </w:r>
      <w:r w:rsidR="00303FB4">
        <w:t xml:space="preserve"> Minute</w:t>
      </w:r>
      <w:r>
        <w:t xml:space="preserve"> Secretary to the Patient Participation Group.</w:t>
      </w:r>
    </w:p>
    <w:sectPr w:rsidR="00EB2D11" w:rsidRPr="00EB2D11" w:rsidSect="008F4D5A">
      <w:type w:val="continuous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77" w:rsidRDefault="008D4877" w:rsidP="00264AD1">
      <w:pPr>
        <w:spacing w:after="0" w:line="240" w:lineRule="auto"/>
      </w:pPr>
      <w:r>
        <w:separator/>
      </w:r>
    </w:p>
  </w:endnote>
  <w:endnote w:type="continuationSeparator" w:id="0">
    <w:p w:rsidR="008D4877" w:rsidRDefault="008D4877" w:rsidP="0026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B6" w:rsidRPr="000F695B" w:rsidRDefault="00994F77" w:rsidP="000F695B">
    <w:pPr>
      <w:pStyle w:val="Footer"/>
      <w:jc w:val="center"/>
    </w:pPr>
    <w:r>
      <w:t xml:space="preserve">            </w:t>
    </w:r>
    <w:r w:rsidR="000F695B">
      <w:t xml:space="preserve">Bellegrove Surgery Patient Participation Group               </w:t>
    </w:r>
    <w:r w:rsidR="00303FB4">
      <w:t>Summary of</w:t>
    </w:r>
    <w:r w:rsidR="000F695B">
      <w:t xml:space="preserve"> Patient Survey 2018, Page </w:t>
    </w:r>
    <w:r w:rsidR="000F695B">
      <w:fldChar w:fldCharType="begin"/>
    </w:r>
    <w:r w:rsidR="000F695B">
      <w:instrText xml:space="preserve"> PAGE   \* MERGEFORMAT </w:instrText>
    </w:r>
    <w:r w:rsidR="000F695B">
      <w:fldChar w:fldCharType="separate"/>
    </w:r>
    <w:r w:rsidR="00B22E83">
      <w:rPr>
        <w:noProof/>
      </w:rPr>
      <w:t>2</w:t>
    </w:r>
    <w:r w:rsidR="000F695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77" w:rsidRDefault="008D4877" w:rsidP="00264AD1">
      <w:pPr>
        <w:spacing w:after="0" w:line="240" w:lineRule="auto"/>
      </w:pPr>
      <w:r>
        <w:separator/>
      </w:r>
    </w:p>
  </w:footnote>
  <w:footnote w:type="continuationSeparator" w:id="0">
    <w:p w:rsidR="008D4877" w:rsidRDefault="008D4877" w:rsidP="00264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A63"/>
    <w:multiLevelType w:val="hybridMultilevel"/>
    <w:tmpl w:val="78F84AFE"/>
    <w:lvl w:ilvl="0" w:tplc="A01A9DD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4C5A"/>
    <w:multiLevelType w:val="hybridMultilevel"/>
    <w:tmpl w:val="D952D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B4019"/>
    <w:multiLevelType w:val="hybridMultilevel"/>
    <w:tmpl w:val="9886B7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5C1AF5"/>
    <w:multiLevelType w:val="hybridMultilevel"/>
    <w:tmpl w:val="857C4F6C"/>
    <w:lvl w:ilvl="0" w:tplc="C4F43E3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559A3"/>
    <w:multiLevelType w:val="hybridMultilevel"/>
    <w:tmpl w:val="5C8AA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124"/>
    <w:multiLevelType w:val="hybridMultilevel"/>
    <w:tmpl w:val="AAA87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B0B3C"/>
    <w:multiLevelType w:val="hybridMultilevel"/>
    <w:tmpl w:val="78F84AFE"/>
    <w:lvl w:ilvl="0" w:tplc="A01A9DD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A6F54"/>
    <w:multiLevelType w:val="hybridMultilevel"/>
    <w:tmpl w:val="69F2ED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606C53"/>
    <w:multiLevelType w:val="hybridMultilevel"/>
    <w:tmpl w:val="2810461E"/>
    <w:lvl w:ilvl="0" w:tplc="174E6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93"/>
    <w:rsid w:val="0000112F"/>
    <w:rsid w:val="00005353"/>
    <w:rsid w:val="00006A0D"/>
    <w:rsid w:val="000112D3"/>
    <w:rsid w:val="0001581E"/>
    <w:rsid w:val="000246E4"/>
    <w:rsid w:val="0002753B"/>
    <w:rsid w:val="0003272A"/>
    <w:rsid w:val="0004433F"/>
    <w:rsid w:val="000504AA"/>
    <w:rsid w:val="00050BE8"/>
    <w:rsid w:val="00067996"/>
    <w:rsid w:val="000745A6"/>
    <w:rsid w:val="00082E93"/>
    <w:rsid w:val="00084003"/>
    <w:rsid w:val="00091996"/>
    <w:rsid w:val="000B1F56"/>
    <w:rsid w:val="000C6A00"/>
    <w:rsid w:val="000E17C5"/>
    <w:rsid w:val="000E1A0A"/>
    <w:rsid w:val="000F0374"/>
    <w:rsid w:val="000F0D94"/>
    <w:rsid w:val="000F695B"/>
    <w:rsid w:val="00111A55"/>
    <w:rsid w:val="0013222C"/>
    <w:rsid w:val="0018162B"/>
    <w:rsid w:val="00191A69"/>
    <w:rsid w:val="001929EF"/>
    <w:rsid w:val="001A65CC"/>
    <w:rsid w:val="001A7173"/>
    <w:rsid w:val="001C5C04"/>
    <w:rsid w:val="001C67E1"/>
    <w:rsid w:val="001E3DF2"/>
    <w:rsid w:val="001E498E"/>
    <w:rsid w:val="001F4E89"/>
    <w:rsid w:val="00200C4C"/>
    <w:rsid w:val="00212318"/>
    <w:rsid w:val="00214852"/>
    <w:rsid w:val="00237FB2"/>
    <w:rsid w:val="002422B2"/>
    <w:rsid w:val="00252E92"/>
    <w:rsid w:val="00261538"/>
    <w:rsid w:val="00264AD1"/>
    <w:rsid w:val="00274089"/>
    <w:rsid w:val="00281BA6"/>
    <w:rsid w:val="00291101"/>
    <w:rsid w:val="002944C8"/>
    <w:rsid w:val="00295799"/>
    <w:rsid w:val="002A085A"/>
    <w:rsid w:val="002B72A8"/>
    <w:rsid w:val="002C35C4"/>
    <w:rsid w:val="002C5198"/>
    <w:rsid w:val="002C57F6"/>
    <w:rsid w:val="002C5E49"/>
    <w:rsid w:val="002D4AC6"/>
    <w:rsid w:val="002F53E6"/>
    <w:rsid w:val="00303FB4"/>
    <w:rsid w:val="00312484"/>
    <w:rsid w:val="003172D9"/>
    <w:rsid w:val="00320E6C"/>
    <w:rsid w:val="0033475D"/>
    <w:rsid w:val="00335D96"/>
    <w:rsid w:val="00387856"/>
    <w:rsid w:val="0039279B"/>
    <w:rsid w:val="003B2F6B"/>
    <w:rsid w:val="003B3674"/>
    <w:rsid w:val="003C3DB6"/>
    <w:rsid w:val="003C6C62"/>
    <w:rsid w:val="003E2AD1"/>
    <w:rsid w:val="003F528C"/>
    <w:rsid w:val="004119CE"/>
    <w:rsid w:val="004205F2"/>
    <w:rsid w:val="004254C5"/>
    <w:rsid w:val="00462216"/>
    <w:rsid w:val="004656AC"/>
    <w:rsid w:val="00474216"/>
    <w:rsid w:val="004745F5"/>
    <w:rsid w:val="004875D2"/>
    <w:rsid w:val="004A2F43"/>
    <w:rsid w:val="004D44F9"/>
    <w:rsid w:val="00506728"/>
    <w:rsid w:val="005127EB"/>
    <w:rsid w:val="00546E9D"/>
    <w:rsid w:val="00562167"/>
    <w:rsid w:val="005875E1"/>
    <w:rsid w:val="00596DF0"/>
    <w:rsid w:val="005B0D58"/>
    <w:rsid w:val="005F572E"/>
    <w:rsid w:val="0060006E"/>
    <w:rsid w:val="006004DF"/>
    <w:rsid w:val="00600DBD"/>
    <w:rsid w:val="006069F1"/>
    <w:rsid w:val="00615F84"/>
    <w:rsid w:val="00630A59"/>
    <w:rsid w:val="006456B9"/>
    <w:rsid w:val="00662374"/>
    <w:rsid w:val="00672BC6"/>
    <w:rsid w:val="006A024D"/>
    <w:rsid w:val="006D7F64"/>
    <w:rsid w:val="007004EC"/>
    <w:rsid w:val="00700D3A"/>
    <w:rsid w:val="0072592E"/>
    <w:rsid w:val="00735C68"/>
    <w:rsid w:val="007364A2"/>
    <w:rsid w:val="00743404"/>
    <w:rsid w:val="007475DF"/>
    <w:rsid w:val="007633D1"/>
    <w:rsid w:val="007650D2"/>
    <w:rsid w:val="00767B3E"/>
    <w:rsid w:val="0079148C"/>
    <w:rsid w:val="007A2FE2"/>
    <w:rsid w:val="007B1FAD"/>
    <w:rsid w:val="007C5CC8"/>
    <w:rsid w:val="007E079B"/>
    <w:rsid w:val="007E755E"/>
    <w:rsid w:val="00833BFA"/>
    <w:rsid w:val="00870F23"/>
    <w:rsid w:val="008715DA"/>
    <w:rsid w:val="008746CA"/>
    <w:rsid w:val="008761B1"/>
    <w:rsid w:val="00880122"/>
    <w:rsid w:val="008804CF"/>
    <w:rsid w:val="008B75C8"/>
    <w:rsid w:val="008C3A39"/>
    <w:rsid w:val="008C4693"/>
    <w:rsid w:val="008D4877"/>
    <w:rsid w:val="008D70D0"/>
    <w:rsid w:val="008F4D5A"/>
    <w:rsid w:val="0093244A"/>
    <w:rsid w:val="00936081"/>
    <w:rsid w:val="009460D7"/>
    <w:rsid w:val="00947866"/>
    <w:rsid w:val="0096008A"/>
    <w:rsid w:val="00961265"/>
    <w:rsid w:val="00994F77"/>
    <w:rsid w:val="009D5580"/>
    <w:rsid w:val="009D5B2D"/>
    <w:rsid w:val="00A011AF"/>
    <w:rsid w:val="00A14A41"/>
    <w:rsid w:val="00A23394"/>
    <w:rsid w:val="00A35479"/>
    <w:rsid w:val="00A37D97"/>
    <w:rsid w:val="00A63037"/>
    <w:rsid w:val="00A7103E"/>
    <w:rsid w:val="00A92D1E"/>
    <w:rsid w:val="00AB351C"/>
    <w:rsid w:val="00AB56C8"/>
    <w:rsid w:val="00AC25FB"/>
    <w:rsid w:val="00AC2D35"/>
    <w:rsid w:val="00AE55C6"/>
    <w:rsid w:val="00B209E1"/>
    <w:rsid w:val="00B22E83"/>
    <w:rsid w:val="00B27C29"/>
    <w:rsid w:val="00B37E00"/>
    <w:rsid w:val="00B604DA"/>
    <w:rsid w:val="00B90271"/>
    <w:rsid w:val="00BB3639"/>
    <w:rsid w:val="00BB6FD8"/>
    <w:rsid w:val="00BD3BE9"/>
    <w:rsid w:val="00BE47B9"/>
    <w:rsid w:val="00C056D2"/>
    <w:rsid w:val="00C15CE0"/>
    <w:rsid w:val="00C2199F"/>
    <w:rsid w:val="00C235A7"/>
    <w:rsid w:val="00C362C6"/>
    <w:rsid w:val="00C37DEA"/>
    <w:rsid w:val="00C47D76"/>
    <w:rsid w:val="00C6071B"/>
    <w:rsid w:val="00CA3575"/>
    <w:rsid w:val="00CA45A0"/>
    <w:rsid w:val="00CB4C1A"/>
    <w:rsid w:val="00CD74AE"/>
    <w:rsid w:val="00CF1063"/>
    <w:rsid w:val="00CF124C"/>
    <w:rsid w:val="00D146FC"/>
    <w:rsid w:val="00D2284B"/>
    <w:rsid w:val="00D47120"/>
    <w:rsid w:val="00D92FE6"/>
    <w:rsid w:val="00D96A3A"/>
    <w:rsid w:val="00DA415A"/>
    <w:rsid w:val="00DA50B1"/>
    <w:rsid w:val="00DA6BFB"/>
    <w:rsid w:val="00DB0CA0"/>
    <w:rsid w:val="00DE6A7C"/>
    <w:rsid w:val="00DF4F47"/>
    <w:rsid w:val="00E11EF1"/>
    <w:rsid w:val="00E16C48"/>
    <w:rsid w:val="00E16C72"/>
    <w:rsid w:val="00E23458"/>
    <w:rsid w:val="00E40779"/>
    <w:rsid w:val="00E46F5E"/>
    <w:rsid w:val="00E603B6"/>
    <w:rsid w:val="00E610E9"/>
    <w:rsid w:val="00E62095"/>
    <w:rsid w:val="00E63BBF"/>
    <w:rsid w:val="00E76547"/>
    <w:rsid w:val="00E91B93"/>
    <w:rsid w:val="00E93BD4"/>
    <w:rsid w:val="00EB1ACB"/>
    <w:rsid w:val="00EB2B9F"/>
    <w:rsid w:val="00EB2D11"/>
    <w:rsid w:val="00EC38C0"/>
    <w:rsid w:val="00EC4A09"/>
    <w:rsid w:val="00EC4BA5"/>
    <w:rsid w:val="00EC51B0"/>
    <w:rsid w:val="00EC5836"/>
    <w:rsid w:val="00EC622C"/>
    <w:rsid w:val="00ED0A59"/>
    <w:rsid w:val="00ED73E3"/>
    <w:rsid w:val="00EE2CAA"/>
    <w:rsid w:val="00EE636A"/>
    <w:rsid w:val="00F10677"/>
    <w:rsid w:val="00F125D1"/>
    <w:rsid w:val="00F21B4D"/>
    <w:rsid w:val="00F42617"/>
    <w:rsid w:val="00F5220F"/>
    <w:rsid w:val="00F6308C"/>
    <w:rsid w:val="00F66125"/>
    <w:rsid w:val="00F76CBB"/>
    <w:rsid w:val="00F77E56"/>
    <w:rsid w:val="00FD43EE"/>
    <w:rsid w:val="00FD6D0F"/>
    <w:rsid w:val="00FE56F1"/>
    <w:rsid w:val="00FE79FF"/>
    <w:rsid w:val="00FF1EC8"/>
    <w:rsid w:val="00FF616C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5E"/>
    <w:pPr>
      <w:widowControl w:val="0"/>
      <w:autoSpaceDE w:val="0"/>
      <w:autoSpaceDN w:val="0"/>
      <w:adjustRightInd w:val="0"/>
      <w:jc w:val="both"/>
    </w:pPr>
    <w:rPr>
      <w:rFonts w:eastAsiaTheme="minorEastAsia" w:cs="Times New Roman"/>
      <w:color w:val="000000" w:themeColor="text1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2CAA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sz w:val="24"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CAA"/>
    <w:rPr>
      <w:rFonts w:eastAsiaTheme="majorEastAsia" w:cstheme="majorBidi"/>
      <w:b/>
      <w:bCs/>
      <w:color w:val="000000" w:themeColor="text1"/>
      <w:sz w:val="24"/>
      <w:szCs w:val="2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14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3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73"/>
    <w:rPr>
      <w:rFonts w:ascii="Tahoma" w:eastAsiaTheme="minorEastAsia" w:hAnsi="Tahoma" w:cs="Tahoma"/>
      <w:color w:val="000000" w:themeColor="text1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871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4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D1"/>
    <w:rPr>
      <w:rFonts w:eastAsiaTheme="minorEastAsia" w:cs="Times New Roman"/>
      <w:color w:val="000000" w:themeColor="text1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64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D1"/>
    <w:rPr>
      <w:rFonts w:eastAsiaTheme="minorEastAsia" w:cs="Times New Roman"/>
      <w:color w:val="000000" w:themeColor="text1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5E"/>
    <w:pPr>
      <w:widowControl w:val="0"/>
      <w:autoSpaceDE w:val="0"/>
      <w:autoSpaceDN w:val="0"/>
      <w:adjustRightInd w:val="0"/>
      <w:jc w:val="both"/>
    </w:pPr>
    <w:rPr>
      <w:rFonts w:eastAsiaTheme="minorEastAsia" w:cs="Times New Roman"/>
      <w:color w:val="000000" w:themeColor="text1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2CAA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sz w:val="24"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CAA"/>
    <w:rPr>
      <w:rFonts w:eastAsiaTheme="majorEastAsia" w:cstheme="majorBidi"/>
      <w:b/>
      <w:bCs/>
      <w:color w:val="000000" w:themeColor="text1"/>
      <w:sz w:val="24"/>
      <w:szCs w:val="2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14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3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73"/>
    <w:rPr>
      <w:rFonts w:ascii="Tahoma" w:eastAsiaTheme="minorEastAsia" w:hAnsi="Tahoma" w:cs="Tahoma"/>
      <w:color w:val="000000" w:themeColor="text1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871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4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D1"/>
    <w:rPr>
      <w:rFonts w:eastAsiaTheme="minorEastAsia" w:cs="Times New Roman"/>
      <w:color w:val="000000" w:themeColor="text1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64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D1"/>
    <w:rPr>
      <w:rFonts w:eastAsiaTheme="minorEastAsia" w:cs="Times New Roman"/>
      <w:color w:val="000000" w:themeColor="text1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AD41-A62A-425D-B9B0-5B90A948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Evans</dc:creator>
  <cp:lastModifiedBy>Philip Evans</cp:lastModifiedBy>
  <cp:revision>11</cp:revision>
  <cp:lastPrinted>2019-01-26T15:34:00Z</cp:lastPrinted>
  <dcterms:created xsi:type="dcterms:W3CDTF">2019-01-26T14:46:00Z</dcterms:created>
  <dcterms:modified xsi:type="dcterms:W3CDTF">2019-01-26T15:43:00Z</dcterms:modified>
</cp:coreProperties>
</file>